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73" w:rsidRDefault="00292373" w:rsidP="00292373">
      <w:pPr>
        <w:pStyle w:val="Style43"/>
        <w:widowControl/>
        <w:jc w:val="center"/>
        <w:rPr>
          <w:rStyle w:val="FontStyle148"/>
          <w:rFonts w:ascii="Verdana" w:hAnsi="Verdana"/>
        </w:rPr>
      </w:pPr>
      <w:r w:rsidRPr="00C77673">
        <w:rPr>
          <w:rStyle w:val="FontStyle148"/>
          <w:rFonts w:ascii="Verdana" w:hAnsi="Verdana"/>
        </w:rPr>
        <w:t xml:space="preserve">Правила вынесения заключения по результатам опроса (анкетирования) </w:t>
      </w:r>
    </w:p>
    <w:p w:rsidR="00292373" w:rsidRPr="00C77673" w:rsidRDefault="00292373" w:rsidP="00292373">
      <w:pPr>
        <w:pStyle w:val="Style43"/>
        <w:widowControl/>
        <w:jc w:val="center"/>
        <w:rPr>
          <w:rStyle w:val="FontStyle148"/>
          <w:rFonts w:ascii="Verdana" w:hAnsi="Verdana"/>
        </w:rPr>
      </w:pPr>
      <w:r w:rsidRPr="00C77673">
        <w:rPr>
          <w:rStyle w:val="FontStyle148"/>
          <w:rFonts w:ascii="Verdana" w:hAnsi="Verdana"/>
        </w:rPr>
        <w:t>в рамках диспансеризации граждан в возрасте до 75 лет</w:t>
      </w:r>
    </w:p>
    <w:p w:rsidR="00292373" w:rsidRPr="00C77673" w:rsidRDefault="00292373" w:rsidP="00292373">
      <w:pPr>
        <w:widowControl/>
        <w:rPr>
          <w:rFonts w:ascii="Verdana" w:hAnsi="Verdana"/>
          <w:sz w:val="22"/>
          <w:szCs w:val="22"/>
        </w:rPr>
      </w:pPr>
    </w:p>
    <w:tbl>
      <w:tblPr>
        <w:tblW w:w="1049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"/>
        <w:gridCol w:w="835"/>
        <w:gridCol w:w="3118"/>
        <w:gridCol w:w="5103"/>
        <w:gridCol w:w="1134"/>
      </w:tblGrid>
      <w:tr w:rsidR="00292373" w:rsidRPr="00750588" w:rsidTr="00C532DE">
        <w:trPr>
          <w:trHeight w:val="882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373" w:rsidRPr="00750588" w:rsidRDefault="00292373" w:rsidP="00C532DE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Вопросы</w:t>
            </w:r>
          </w:p>
          <w:p w:rsidR="00292373" w:rsidRPr="00750588" w:rsidRDefault="00292373" w:rsidP="00C532DE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анкеты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373" w:rsidRPr="00750588" w:rsidRDefault="00292373" w:rsidP="00C532DE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Ответ и Заключение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373" w:rsidRPr="00750588" w:rsidRDefault="00292373" w:rsidP="00C532DE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Врачебная тактика - Показания на 2 этап</w:t>
            </w:r>
            <w:r w:rsidR="00C532DE">
              <w:rPr>
                <w:rStyle w:val="FontStyle145"/>
                <w:rFonts w:ascii="Verdana" w:hAnsi="Verdana"/>
                <w:sz w:val="20"/>
                <w:szCs w:val="20"/>
              </w:rPr>
              <w:t xml:space="preserve">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диспансеризации ИЛИ дополнительное обследование вне рамок диспансеризации*</w:t>
            </w:r>
          </w:p>
        </w:tc>
      </w:tr>
      <w:tr w:rsidR="00292373" w:rsidRPr="00750588" w:rsidTr="00C532DE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Осведомленность о заболеваниях в анамнезе (личный анамнез)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532DE">
            <w:pPr>
              <w:pStyle w:val="Style76"/>
              <w:widowControl/>
              <w:spacing w:line="240" w:lineRule="auto"/>
              <w:ind w:left="-179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Вопрос 1 (1.1 1.10); Вопросы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ind w:left="-37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2 и 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Ответ «ДА»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на любой вопрос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Вероятность заболевания в личном анамнезе;</w:t>
            </w:r>
          </w:p>
          <w:p w:rsidR="00292373" w:rsidRPr="00750588" w:rsidRDefault="00292373" w:rsidP="00C532DE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Ответ «Да» на вторую часть вопроса 1.1 -вероятность медикаментозной гипотензивной терапии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Получить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документальное подтверждение заболевания (</w:t>
            </w:r>
            <w:proofErr w:type="spellStart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амб</w:t>
            </w:r>
            <w:proofErr w:type="spellEnd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. Карта, выписки) и при его наличии внести диагноз заболеваний в учетную и отчетную формы;</w:t>
            </w:r>
          </w:p>
          <w:p w:rsidR="00292373" w:rsidRPr="00C532DE" w:rsidRDefault="00292373" w:rsidP="00CB0FA9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</w:pPr>
            <w:r w:rsidRPr="00C532DE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 xml:space="preserve">С учетом уровня АД у пациента, ответившего «ДА» на вторую часть вопросы 1.1, </w:t>
            </w:r>
            <w:r w:rsidRPr="00C532DE">
              <w:rPr>
                <w:rStyle w:val="FontStyle145"/>
                <w:rFonts w:ascii="Verdana" w:hAnsi="Verdana"/>
                <w:spacing w:val="-18"/>
                <w:sz w:val="20"/>
                <w:szCs w:val="20"/>
              </w:rPr>
              <w:t xml:space="preserve">внести информацию об </w:t>
            </w:r>
            <w:r w:rsidRPr="00C532DE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эффективности гипотензивной терапии в учетную и отчетную формы;</w:t>
            </w:r>
          </w:p>
          <w:p w:rsidR="00292373" w:rsidRPr="00750588" w:rsidRDefault="00292373" w:rsidP="00CB0FA9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Определить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проведение мероприятий диспансеризации с учетом выявленного в анамнезе заболевания</w:t>
            </w:r>
          </w:p>
        </w:tc>
      </w:tr>
      <w:tr w:rsidR="00292373" w:rsidRPr="00750588" w:rsidTr="00C532DE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Семейный анамнез</w:t>
            </w:r>
          </w:p>
        </w:tc>
      </w:tr>
      <w:tr w:rsidR="00292373" w:rsidRPr="00750588" w:rsidTr="00C532DE">
        <w:trPr>
          <w:trHeight w:val="949"/>
        </w:trPr>
        <w:tc>
          <w:tcPr>
            <w:tcW w:w="11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Вопросы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 4 и 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Ответ «ДА» вопрос 4 -</w:t>
            </w:r>
          </w:p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отягощенная </w:t>
            </w:r>
          </w:p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наследственность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по инфаркту и инсульту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При профилактическом консультирования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обратить внимание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на меры по профилактике атеросклероза, особенно при наличии клинических проявлений ИБС, ЦВБ.</w:t>
            </w:r>
          </w:p>
        </w:tc>
      </w:tr>
      <w:tr w:rsidR="00292373" w:rsidRPr="00750588" w:rsidTr="00C532DE">
        <w:tc>
          <w:tcPr>
            <w:tcW w:w="11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widowControl/>
              <w:rPr>
                <w:rStyle w:val="FontStyle147"/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«ДА» вопрос 5 </w:t>
            </w:r>
          </w:p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Отягощенная </w:t>
            </w:r>
          </w:p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наследственность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по </w:t>
            </w:r>
            <w:proofErr w:type="spellStart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онкозаболеваниям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42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Для граждан в возрасте от 49 лет и старше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при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отягощенной наследственности по </w:t>
            </w:r>
            <w:proofErr w:type="spellStart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колоректальному</w:t>
            </w:r>
            <w:proofErr w:type="spellEnd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 раку, семейному </w:t>
            </w:r>
            <w:proofErr w:type="spellStart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аденоматозу</w:t>
            </w:r>
            <w:proofErr w:type="spellEnd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 (диффузному </w:t>
            </w:r>
            <w:proofErr w:type="spellStart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полипозу</w:t>
            </w:r>
            <w:proofErr w:type="spellEnd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 толстой кишки), направить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на 2 этап диспансеризации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(осмотр врача-хирурга или врача-</w:t>
            </w:r>
            <w:proofErr w:type="spellStart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колопроктола</w:t>
            </w:r>
            <w:proofErr w:type="spellEnd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)</w:t>
            </w:r>
          </w:p>
        </w:tc>
      </w:tr>
      <w:tr w:rsidR="00292373" w:rsidRPr="00750588" w:rsidTr="00C532DE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2373" w:rsidRPr="00750588" w:rsidRDefault="00292373" w:rsidP="00CB0FA9">
            <w:pPr>
              <w:pStyle w:val="Style52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2373" w:rsidRPr="00750588" w:rsidRDefault="00292373" w:rsidP="00CB0FA9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Выявление вероятности стенокардии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52"/>
              <w:widowControl/>
              <w:rPr>
                <w:rFonts w:ascii="Verdana" w:hAnsi="Verdana"/>
                <w:sz w:val="20"/>
                <w:szCs w:val="20"/>
              </w:rPr>
            </w:pP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Вопросы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6 и 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Ответ ДА» на 6 или оба вопроса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Имеется вероятность стенокардии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Провести вне рамок диспансеризации необходимые обследования в соответствии со стандартом медицинской помощи при стенокардии для уточнения диагноза</w:t>
            </w:r>
          </w:p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При профилактическом консультировании информировать пациента о необходимости обследования и уточнения наличия стенокардии. Объяснить о высоком риске развития угрожающих жизни состояний при стенокардии, характерных проявлениях этих состояний и необходимых неотложных мерах, включая своевременный вызов скорой медицинской помощи.</w:t>
            </w:r>
          </w:p>
          <w:p w:rsidR="00292373" w:rsidRPr="00750588" w:rsidRDefault="00292373" w:rsidP="00CB0FA9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Обратить особое внимание на сопутствующие факторы риска и важность их коррекции</w:t>
            </w:r>
          </w:p>
        </w:tc>
      </w:tr>
      <w:tr w:rsidR="00C532DE" w:rsidRPr="00750588" w:rsidTr="00C532DE">
        <w:trPr>
          <w:trHeight w:val="501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2DE" w:rsidRDefault="00C532DE" w:rsidP="00C532DE">
            <w:pPr>
              <w:pStyle w:val="Style52"/>
              <w:widowControl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Выявление </w:t>
            </w:r>
            <w:proofErr w:type="gramStart"/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вероятности</w:t>
            </w:r>
            <w:proofErr w:type="gramEnd"/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 перенесенной транзиторной ишемической атаки (ТИА)</w:t>
            </w:r>
            <w:r>
              <w:rPr>
                <w:rStyle w:val="FontStyle145"/>
                <w:rFonts w:ascii="Verdana" w:hAnsi="Verdana"/>
                <w:sz w:val="20"/>
                <w:szCs w:val="20"/>
              </w:rPr>
              <w:t xml:space="preserve"> </w:t>
            </w:r>
          </w:p>
          <w:p w:rsidR="00C532DE" w:rsidRPr="00750588" w:rsidRDefault="00C532DE" w:rsidP="00C532DE">
            <w:pPr>
              <w:pStyle w:val="Style52"/>
              <w:widowControl/>
              <w:jc w:val="center"/>
              <w:rPr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или острого нарушения мозгового кровообращения (ОНМК)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Вопросы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8-10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Ответ «ДА» хотя бы на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один вопрос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Имеется вероятность</w:t>
            </w:r>
          </w:p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преходящей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ишемической атаки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(ТИА) или перенесенного ОНМК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Направить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пациента на консультацию (осмотр) к врачу-неврологу.</w:t>
            </w:r>
          </w:p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Информировать граждан о высоком риске развития инсульта, о его характерных проявлениях, о неотложных мероприятиях само- и взаимопомощи, включая своевременный вызов скорой медицинской помощи.</w:t>
            </w:r>
          </w:p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При подтверждении диагноза, направить на углубленное профилактическое консультирование в рамках диспансеризации</w:t>
            </w:r>
          </w:p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Рассмотреть необходимость назначения медикаментозной терапии</w:t>
            </w:r>
          </w:p>
        </w:tc>
      </w:tr>
      <w:tr w:rsidR="00C532DE" w:rsidRPr="00750588" w:rsidTr="00C532DE">
        <w:trPr>
          <w:trHeight w:val="501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2DE" w:rsidRDefault="00C532DE" w:rsidP="00C532DE">
            <w:pPr>
              <w:pStyle w:val="Style52"/>
              <w:widowControl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Выявление вероятности хронического заболевания нижних дыхательных путей </w:t>
            </w:r>
          </w:p>
          <w:p w:rsidR="00C532DE" w:rsidRPr="00750588" w:rsidRDefault="00C532DE" w:rsidP="00C532DE">
            <w:pPr>
              <w:pStyle w:val="Style52"/>
              <w:widowControl/>
              <w:jc w:val="center"/>
              <w:rPr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(хронической </w:t>
            </w:r>
            <w:proofErr w:type="spellStart"/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обструктивной</w:t>
            </w:r>
            <w:proofErr w:type="spellEnd"/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 болезни легких - ХОБЛ)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Вопросы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11 и 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Ответ «ДА» хотя бы на один вопрос - имеется вероятность хронического заболевания нижних дыхательных путей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Направить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на спирометрию на 2 этапе диспансеризации и по ее результатам определить дальнейшую тактику</w:t>
            </w:r>
          </w:p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При проведении профилактического консультирования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обратить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внимание на меры профилактики ХОБЛ и важность коррекции имеющихся факторов риска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Вопрос 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532DE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Ответ «ДА» Вероятность наличия заболевания легких (</w:t>
            </w:r>
            <w:proofErr w:type="spellStart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Бронхоэктазы</w:t>
            </w:r>
            <w:proofErr w:type="spellEnd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онкопатология</w:t>
            </w:r>
            <w:proofErr w:type="spellEnd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туберкулез)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Провести детальный сбор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анамнеза и жалоб, оценить результат флюорографии, определить дальнейшую тактику уточнения диагноза вне рамок диспансеризации</w:t>
            </w:r>
          </w:p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При профилактическом консультировании учесть выявленную симптоматику</w:t>
            </w:r>
          </w:p>
        </w:tc>
      </w:tr>
      <w:tr w:rsidR="00292373" w:rsidRPr="00750588" w:rsidTr="00C532DE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lastRenderedPageBreak/>
              <w:t>Выявление вероятности заболеваний желудочно-кишечного тракта (ЖКТ), в том числе и онкологических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Вопрос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14-16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Ответ «ДА» на вопрос 16 в сочетании с ответом «Да» на вопрос 14 и/или15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Вероятность заболеваний верхних отделов желудочно-кишечного тракта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Провести детальный сбор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анамнеза и жалоб, оценить клиническую картину, определить дальнейшую тактику обследования вне рамок диспансеризации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При консультировании учесть выявленную симптоматику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Вопросы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16-18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Ответ «ДА» на вопрос 16 в сочетании с ответом «Да» на вопрос 17 и/или18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Вероятность заболевания нижних отделов ЖКТ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Провести детальный сбор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анамнеза и жалоб, оценить клиническую картину</w:t>
            </w:r>
          </w:p>
          <w:p w:rsidR="00292373" w:rsidRPr="00C41FF5" w:rsidRDefault="00292373" w:rsidP="00CB0FA9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pacing w:val="-16"/>
                <w:sz w:val="20"/>
                <w:szCs w:val="20"/>
              </w:rPr>
            </w:pPr>
            <w:r w:rsidRPr="00C41FF5">
              <w:rPr>
                <w:rStyle w:val="FontStyle145"/>
                <w:rFonts w:ascii="Verdana" w:hAnsi="Verdana"/>
                <w:spacing w:val="-16"/>
                <w:sz w:val="20"/>
                <w:szCs w:val="20"/>
              </w:rPr>
              <w:t xml:space="preserve">Направить </w:t>
            </w:r>
            <w:r w:rsidRPr="00C41FF5">
              <w:rPr>
                <w:rStyle w:val="FontStyle147"/>
                <w:rFonts w:ascii="Verdana" w:hAnsi="Verdana"/>
                <w:spacing w:val="-16"/>
                <w:sz w:val="20"/>
                <w:szCs w:val="20"/>
              </w:rPr>
              <w:t xml:space="preserve">на осмотр врачом-хирургом или </w:t>
            </w:r>
            <w:proofErr w:type="spellStart"/>
            <w:r w:rsidRPr="00C41FF5">
              <w:rPr>
                <w:rStyle w:val="FontStyle147"/>
                <w:rFonts w:ascii="Verdana" w:hAnsi="Verdana"/>
                <w:spacing w:val="-16"/>
                <w:sz w:val="20"/>
                <w:szCs w:val="20"/>
              </w:rPr>
              <w:t>колопроктологом</w:t>
            </w:r>
            <w:proofErr w:type="spellEnd"/>
          </w:p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При профилактическом консультировании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обратить внимание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на профилактику </w:t>
            </w:r>
            <w:proofErr w:type="spellStart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колоректального</w:t>
            </w:r>
            <w:proofErr w:type="spellEnd"/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 рака и факторы риска его развития</w:t>
            </w:r>
          </w:p>
        </w:tc>
      </w:tr>
      <w:tr w:rsidR="00292373" w:rsidRPr="00750588" w:rsidTr="00C532DE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Выявление поведенческих факторов риска - курение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Вопросы 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19-20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Ответ «ДА» на вопрос</w:t>
            </w:r>
            <w:r>
              <w:rPr>
                <w:rStyle w:val="FontStyle147"/>
                <w:rFonts w:ascii="Verdana" w:hAnsi="Verdana"/>
                <w:sz w:val="20"/>
                <w:szCs w:val="20"/>
              </w:rPr>
              <w:t xml:space="preserve">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19 </w:t>
            </w:r>
          </w:p>
          <w:p w:rsidR="00292373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Фактор риска «курение»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Оценить риск по ш кале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  <w:lang w:val="en-US"/>
              </w:rPr>
              <w:t>SCORE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при отсутствии клинических проявлений ССЗ, обусловленных атеросклерозом, сахарного диабета 2, хронических болезней почек:</w:t>
            </w:r>
          </w:p>
          <w:p w:rsidR="00292373" w:rsidRPr="00750588" w:rsidRDefault="00292373" w:rsidP="00CB0FA9">
            <w:pPr>
              <w:pStyle w:val="Style113"/>
              <w:widowControl/>
              <w:tabs>
                <w:tab w:val="left" w:pos="850"/>
              </w:tabs>
              <w:ind w:left="382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•</w:t>
            </w:r>
            <w:r w:rsidRPr="00750588">
              <w:rPr>
                <w:rStyle w:val="FontStyle147"/>
                <w:rFonts w:ascii="Verdana" w:hAnsi="Verdana" w:cs="Times New Roman"/>
                <w:sz w:val="20"/>
                <w:szCs w:val="20"/>
              </w:rPr>
              <w:tab/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 возрасте до 40 лет относительный риск;</w:t>
            </w:r>
          </w:p>
          <w:p w:rsidR="00292373" w:rsidRPr="00750588" w:rsidRDefault="00292373" w:rsidP="00CB0FA9">
            <w:pPr>
              <w:pStyle w:val="Style67"/>
              <w:widowControl/>
              <w:tabs>
                <w:tab w:val="left" w:pos="850"/>
              </w:tabs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•</w:t>
            </w:r>
            <w:r w:rsidRPr="00750588">
              <w:rPr>
                <w:rStyle w:val="FontStyle147"/>
                <w:rFonts w:ascii="Verdana" w:hAnsi="Verdana" w:cs="Times New Roman"/>
                <w:sz w:val="20"/>
                <w:szCs w:val="20"/>
              </w:rPr>
              <w:tab/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в возрасте 40-65 лет и абсолютный риск; </w:t>
            </w:r>
          </w:p>
          <w:p w:rsidR="00292373" w:rsidRPr="00750588" w:rsidRDefault="00292373" w:rsidP="00CB0FA9">
            <w:pPr>
              <w:pStyle w:val="Style67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На первом этапе диспансеризации провести</w:t>
            </w:r>
          </w:p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индивидуальное профилактическое консультирование для лиц, потребляющих более 20 сигарет в день или имеющих высокий относительный или высокий/очень высокий абсолютный риск по шкале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  <w:lang w:val="en-US"/>
              </w:rPr>
              <w:t>SCORE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.</w:t>
            </w:r>
          </w:p>
          <w:p w:rsidR="00292373" w:rsidRPr="00750588" w:rsidRDefault="00292373" w:rsidP="00CB0FA9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Информировать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всех курящих о необходимости отказа от курения.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widowControl/>
              <w:rPr>
                <w:rStyle w:val="FontStyle147"/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Ответ на вопрос 20 «более 20 сигарет в день» свидетельствует об интенсивном курении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</w:p>
        </w:tc>
      </w:tr>
      <w:tr w:rsidR="00292373" w:rsidRPr="00750588" w:rsidTr="00C532DE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Выявление поведенческих факторов риска - низкая физическая активность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Вопрос 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Ответ «До 30 минут» -фактор риска «низкая физическая активность»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40" w:lineRule="auto"/>
              <w:ind w:left="10" w:hanging="10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C41FF5">
              <w:rPr>
                <w:rStyle w:val="FontStyle147"/>
                <w:rFonts w:ascii="Verdana" w:hAnsi="Verdana"/>
                <w:b/>
                <w:sz w:val="20"/>
                <w:szCs w:val="20"/>
              </w:rPr>
              <w:t>Учесть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 факт наличия низкой физической активности при проведении профилактического консультирования</w:t>
            </w:r>
          </w:p>
        </w:tc>
      </w:tr>
      <w:tr w:rsidR="00292373" w:rsidRPr="00750588" w:rsidTr="00C532DE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Выявление поведенческих факторов риска - нерациональное питание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Вопросы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22 и 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Ответ «Нет» на вопрос 22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и/или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ответ «ДА» на вопрос 23 - фактор риска «нерациональное питание»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40" w:lineRule="auto"/>
              <w:ind w:left="10" w:hanging="10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C41FF5">
              <w:rPr>
                <w:rStyle w:val="FontStyle147"/>
                <w:rFonts w:ascii="Verdana" w:hAnsi="Verdana"/>
                <w:b/>
                <w:sz w:val="20"/>
                <w:szCs w:val="20"/>
              </w:rPr>
              <w:t>Учест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ь фактор риска при проведении профилактического консультирования</w:t>
            </w:r>
          </w:p>
        </w:tc>
      </w:tr>
      <w:tr w:rsidR="00292373" w:rsidRPr="00750588" w:rsidTr="00C532DE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Выявление поведенческих факторов риска - потребление наркотических средств без</w:t>
            </w:r>
          </w:p>
        </w:tc>
      </w:tr>
      <w:tr w:rsidR="00292373" w:rsidRPr="00750588" w:rsidTr="00C532DE">
        <w:tc>
          <w:tcPr>
            <w:tcW w:w="104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назначения врача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Вопрос 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Ответ «Да» -вероятность потребления наркотических средств и психотропных</w:t>
            </w:r>
            <w:r>
              <w:rPr>
                <w:rStyle w:val="FontStyle147"/>
                <w:rFonts w:ascii="Verdana" w:hAnsi="Verdana"/>
                <w:sz w:val="20"/>
                <w:szCs w:val="20"/>
              </w:rPr>
              <w:t xml:space="preserve">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веществ без назначения врача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CC6D34" w:rsidRDefault="00292373" w:rsidP="00C532DE">
            <w:pPr>
              <w:pStyle w:val="Style28"/>
              <w:widowControl/>
              <w:spacing w:line="278" w:lineRule="exact"/>
              <w:ind w:firstLine="5"/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Направить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пациента на углубленное профилактическое консультирование на 2 этапе диспансеризации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(см. раздел 2.4.3.2)</w:t>
            </w:r>
          </w:p>
        </w:tc>
      </w:tr>
      <w:tr w:rsidR="00292373" w:rsidRPr="00750588" w:rsidTr="00C532DE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373" w:rsidRPr="00750588" w:rsidRDefault="00292373" w:rsidP="00C532DE">
            <w:pPr>
              <w:pStyle w:val="Style42"/>
              <w:widowControl/>
              <w:spacing w:line="240" w:lineRule="auto"/>
              <w:ind w:left="-37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Выявление поведенческих факторов риска - риск пагубного потребления алкоголя</w:t>
            </w:r>
          </w:p>
        </w:tc>
      </w:tr>
      <w:tr w:rsidR="00292373" w:rsidRPr="00750588" w:rsidTr="00C532DE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Вопросы</w:t>
            </w:r>
          </w:p>
          <w:p w:rsidR="00292373" w:rsidRPr="00750588" w:rsidRDefault="00292373" w:rsidP="00CB0FA9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25-27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Default="00292373" w:rsidP="00CB0FA9">
            <w:pPr>
              <w:pStyle w:val="Style76"/>
              <w:widowControl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Сумма баллов в вопросах 25-27 </w:t>
            </w:r>
          </w:p>
          <w:p w:rsidR="00292373" w:rsidRPr="00750588" w:rsidRDefault="00292373" w:rsidP="00CB0FA9">
            <w:pPr>
              <w:pStyle w:val="Style76"/>
              <w:widowControl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для женщин -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3 балла</w:t>
            </w:r>
          </w:p>
          <w:p w:rsidR="00292373" w:rsidRDefault="00292373" w:rsidP="00CB0FA9">
            <w:pPr>
              <w:pStyle w:val="Style76"/>
              <w:widowControl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и более </w:t>
            </w:r>
          </w:p>
          <w:p w:rsidR="00292373" w:rsidRDefault="00292373" w:rsidP="00CB0FA9">
            <w:pPr>
              <w:pStyle w:val="Style76"/>
              <w:widowControl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для мужчин -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4 балла и более </w:t>
            </w:r>
          </w:p>
          <w:p w:rsidR="00292373" w:rsidRPr="00750588" w:rsidRDefault="00292373" w:rsidP="00CB0FA9">
            <w:pPr>
              <w:pStyle w:val="Style76"/>
              <w:widowControl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>«Риск пагубного потребления алкоголя»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73" w:rsidRPr="00750588" w:rsidRDefault="00292373" w:rsidP="00CB0FA9">
            <w:pPr>
              <w:pStyle w:val="Style28"/>
              <w:widowControl/>
              <w:spacing w:line="278" w:lineRule="exact"/>
              <w:ind w:firstLine="5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 xml:space="preserve">Направить </w:t>
            </w:r>
            <w:r w:rsidRPr="00750588">
              <w:rPr>
                <w:rStyle w:val="FontStyle147"/>
                <w:rFonts w:ascii="Verdana" w:hAnsi="Verdana"/>
                <w:sz w:val="20"/>
                <w:szCs w:val="20"/>
              </w:rPr>
              <w:t xml:space="preserve">пациента на углубленное профилактическое консультирование на 2 этапе диспансеризации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(см. раздел</w:t>
            </w:r>
            <w:r>
              <w:rPr>
                <w:rStyle w:val="FontStyle145"/>
                <w:rFonts w:ascii="Verdana" w:hAnsi="Verdana"/>
                <w:sz w:val="20"/>
                <w:szCs w:val="20"/>
              </w:rPr>
              <w:t xml:space="preserve"> </w:t>
            </w:r>
            <w:r w:rsidRPr="00750588">
              <w:rPr>
                <w:rStyle w:val="FontStyle145"/>
                <w:rFonts w:ascii="Verdana" w:hAnsi="Verdana"/>
                <w:sz w:val="20"/>
                <w:szCs w:val="20"/>
              </w:rPr>
              <w:t>2.4.3.2)</w:t>
            </w:r>
          </w:p>
        </w:tc>
      </w:tr>
    </w:tbl>
    <w:p w:rsidR="00FE5541" w:rsidRDefault="00FE5541" w:rsidP="00C532DE"/>
    <w:sectPr w:rsidR="00FE5541" w:rsidSect="00C532D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73"/>
    <w:rsid w:val="00292373"/>
    <w:rsid w:val="00C532DE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7CCF"/>
  <w15:chartTrackingRefBased/>
  <w15:docId w15:val="{9385B4F4-D5FC-4A4E-ABDD-07F90E2E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7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uiPriority w:val="99"/>
    <w:rsid w:val="00292373"/>
    <w:pPr>
      <w:spacing w:line="266" w:lineRule="exact"/>
    </w:pPr>
  </w:style>
  <w:style w:type="paragraph" w:customStyle="1" w:styleId="Style42">
    <w:name w:val="Style42"/>
    <w:basedOn w:val="a"/>
    <w:uiPriority w:val="99"/>
    <w:rsid w:val="00292373"/>
    <w:pPr>
      <w:spacing w:line="266" w:lineRule="exact"/>
    </w:pPr>
  </w:style>
  <w:style w:type="paragraph" w:customStyle="1" w:styleId="Style43">
    <w:name w:val="Style43"/>
    <w:basedOn w:val="a"/>
    <w:uiPriority w:val="99"/>
    <w:rsid w:val="00292373"/>
  </w:style>
  <w:style w:type="paragraph" w:customStyle="1" w:styleId="Style52">
    <w:name w:val="Style52"/>
    <w:basedOn w:val="a"/>
    <w:uiPriority w:val="99"/>
    <w:rsid w:val="00292373"/>
  </w:style>
  <w:style w:type="paragraph" w:customStyle="1" w:styleId="Style67">
    <w:name w:val="Style67"/>
    <w:basedOn w:val="a"/>
    <w:uiPriority w:val="99"/>
    <w:rsid w:val="00292373"/>
    <w:pPr>
      <w:spacing w:line="278" w:lineRule="exact"/>
      <w:ind w:firstLine="355"/>
    </w:pPr>
  </w:style>
  <w:style w:type="paragraph" w:customStyle="1" w:styleId="Style76">
    <w:name w:val="Style76"/>
    <w:basedOn w:val="a"/>
    <w:uiPriority w:val="99"/>
    <w:rsid w:val="00292373"/>
    <w:pPr>
      <w:spacing w:line="278" w:lineRule="exact"/>
      <w:jc w:val="center"/>
    </w:pPr>
  </w:style>
  <w:style w:type="paragraph" w:customStyle="1" w:styleId="Style113">
    <w:name w:val="Style113"/>
    <w:basedOn w:val="a"/>
    <w:uiPriority w:val="99"/>
    <w:rsid w:val="00292373"/>
  </w:style>
  <w:style w:type="character" w:customStyle="1" w:styleId="FontStyle145">
    <w:name w:val="Font Style145"/>
    <w:basedOn w:val="a0"/>
    <w:uiPriority w:val="99"/>
    <w:rsid w:val="00292373"/>
    <w:rPr>
      <w:rFonts w:ascii="Segoe UI" w:hAnsi="Segoe UI" w:cs="Segoe UI"/>
      <w:b/>
      <w:bCs/>
      <w:sz w:val="18"/>
      <w:szCs w:val="18"/>
    </w:rPr>
  </w:style>
  <w:style w:type="character" w:customStyle="1" w:styleId="FontStyle147">
    <w:name w:val="Font Style147"/>
    <w:basedOn w:val="a0"/>
    <w:uiPriority w:val="99"/>
    <w:rsid w:val="00292373"/>
    <w:rPr>
      <w:rFonts w:ascii="Segoe UI" w:hAnsi="Segoe UI" w:cs="Segoe UI"/>
      <w:sz w:val="18"/>
      <w:szCs w:val="18"/>
    </w:rPr>
  </w:style>
  <w:style w:type="character" w:customStyle="1" w:styleId="FontStyle148">
    <w:name w:val="Font Style148"/>
    <w:basedOn w:val="a0"/>
    <w:uiPriority w:val="99"/>
    <w:rsid w:val="00292373"/>
    <w:rPr>
      <w:rFonts w:ascii="Segoe UI" w:hAnsi="Segoe UI" w:cs="Segoe U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РИО-СОЦМП</dc:creator>
  <cp:keywords/>
  <dc:description/>
  <cp:lastModifiedBy>РИО-СОЦМП</cp:lastModifiedBy>
  <cp:revision>1</cp:revision>
  <dcterms:created xsi:type="dcterms:W3CDTF">2018-01-29T05:03:00Z</dcterms:created>
  <dcterms:modified xsi:type="dcterms:W3CDTF">2018-01-29T08:01:00Z</dcterms:modified>
</cp:coreProperties>
</file>